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7C" w:rsidRPr="00B8626D" w:rsidRDefault="00B1347C" w:rsidP="00B8626D">
      <w:pPr>
        <w:spacing w:after="0" w:line="276" w:lineRule="auto"/>
        <w:jc w:val="center"/>
        <w:rPr>
          <w:rFonts w:ascii="Candara" w:eastAsia="Times New Roman" w:hAnsi="Candara" w:cs="Times New Roman"/>
          <w:b/>
          <w:bCs/>
          <w:kern w:val="0"/>
          <w:u w:val="single"/>
          <w:lang w:eastAsia="el-GR"/>
        </w:rPr>
      </w:pPr>
      <w:r w:rsidRPr="00B8626D">
        <w:rPr>
          <w:rFonts w:ascii="Candara" w:eastAsia="Times New Roman" w:hAnsi="Candara" w:cs="Times New Roman"/>
          <w:b/>
          <w:bCs/>
          <w:noProof/>
          <w:kern w:val="0"/>
          <w:u w:val="single"/>
          <w:lang w:eastAsia="el-GR"/>
        </w:rPr>
        <w:drawing>
          <wp:anchor distT="0" distB="0" distL="114300" distR="114300" simplePos="0" relativeHeight="251659264" behindDoc="1" locked="0" layoutInCell="1" allowOverlap="1">
            <wp:simplePos x="0" y="0"/>
            <wp:positionH relativeFrom="column">
              <wp:posOffset>-1123950</wp:posOffset>
            </wp:positionH>
            <wp:positionV relativeFrom="paragraph">
              <wp:posOffset>-454025</wp:posOffset>
            </wp:positionV>
            <wp:extent cx="7553960" cy="1257300"/>
            <wp:effectExtent l="19050" t="0" r="8890" b="0"/>
            <wp:wrapNone/>
            <wp:docPr id="6"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872" b="85334"/>
                    <a:stretch/>
                  </pic:blipFill>
                  <pic:spPr bwMode="auto">
                    <a:xfrm>
                      <a:off x="0" y="0"/>
                      <a:ext cx="7553960" cy="12611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B1347C" w:rsidRPr="00B8626D" w:rsidRDefault="00B1347C" w:rsidP="00B8626D">
      <w:pPr>
        <w:spacing w:after="0" w:line="276" w:lineRule="auto"/>
        <w:jc w:val="center"/>
        <w:rPr>
          <w:rFonts w:ascii="Candara" w:eastAsia="Times New Roman" w:hAnsi="Candara" w:cs="Times New Roman"/>
          <w:b/>
          <w:bCs/>
          <w:kern w:val="0"/>
          <w:u w:val="single"/>
          <w:lang w:eastAsia="el-GR"/>
        </w:rPr>
      </w:pPr>
    </w:p>
    <w:p w:rsidR="00B1347C" w:rsidRPr="00B8626D" w:rsidRDefault="00B1347C" w:rsidP="00B8626D">
      <w:pPr>
        <w:spacing w:after="0" w:line="276" w:lineRule="auto"/>
        <w:jc w:val="center"/>
        <w:rPr>
          <w:rFonts w:ascii="Candara" w:eastAsia="Times New Roman" w:hAnsi="Candara" w:cs="Times New Roman"/>
          <w:b/>
          <w:bCs/>
          <w:kern w:val="0"/>
          <w:u w:val="single"/>
          <w:lang w:eastAsia="el-GR"/>
        </w:rPr>
      </w:pPr>
    </w:p>
    <w:p w:rsidR="00B1347C" w:rsidRPr="00B8626D" w:rsidRDefault="00B1347C" w:rsidP="00B8626D">
      <w:pPr>
        <w:spacing w:after="0" w:line="276" w:lineRule="auto"/>
        <w:jc w:val="center"/>
        <w:rPr>
          <w:rFonts w:ascii="Candara" w:eastAsia="Times New Roman" w:hAnsi="Candara" w:cs="Times New Roman"/>
          <w:b/>
          <w:bCs/>
          <w:kern w:val="0"/>
          <w:u w:val="single"/>
          <w:lang w:eastAsia="el-GR"/>
        </w:rPr>
      </w:pPr>
    </w:p>
    <w:p w:rsidR="00B1347C" w:rsidRPr="00B8626D" w:rsidRDefault="00B1347C" w:rsidP="00B8626D">
      <w:pPr>
        <w:spacing w:after="0" w:line="276" w:lineRule="auto"/>
        <w:jc w:val="center"/>
        <w:rPr>
          <w:rFonts w:ascii="Candara" w:eastAsia="Times New Roman" w:hAnsi="Candara" w:cs="Times New Roman"/>
          <w:b/>
          <w:bCs/>
          <w:kern w:val="0"/>
          <w:u w:val="single"/>
          <w:lang w:eastAsia="el-GR"/>
        </w:rPr>
      </w:pPr>
    </w:p>
    <w:p w:rsidR="00B1347C" w:rsidRPr="00B8626D" w:rsidRDefault="00B1347C" w:rsidP="00B8626D">
      <w:pPr>
        <w:spacing w:after="0" w:line="276" w:lineRule="auto"/>
        <w:jc w:val="center"/>
        <w:rPr>
          <w:rFonts w:ascii="Candara" w:eastAsia="Times New Roman" w:hAnsi="Candara" w:cs="Times New Roman"/>
          <w:b/>
          <w:bCs/>
          <w:kern w:val="0"/>
          <w:u w:val="single"/>
          <w:lang w:eastAsia="el-GR"/>
        </w:rPr>
      </w:pPr>
    </w:p>
    <w:p w:rsidR="00B1347C" w:rsidRPr="00B8626D" w:rsidRDefault="00652E28" w:rsidP="00B8626D">
      <w:pPr>
        <w:spacing w:after="0" w:line="276" w:lineRule="auto"/>
        <w:jc w:val="center"/>
        <w:rPr>
          <w:rFonts w:ascii="Candara" w:eastAsia="Times New Roman" w:hAnsi="Candara" w:cs="Times New Roman"/>
          <w:b/>
          <w:bCs/>
          <w:kern w:val="0"/>
          <w:lang w:eastAsia="el-GR"/>
        </w:rPr>
      </w:pPr>
      <w:r w:rsidRPr="00B8626D">
        <w:rPr>
          <w:rFonts w:ascii="Candara" w:eastAsia="Times New Roman" w:hAnsi="Candara" w:cs="Times New Roman"/>
          <w:b/>
          <w:bCs/>
          <w:kern w:val="0"/>
          <w:lang w:eastAsia="el-GR"/>
        </w:rPr>
        <w:t xml:space="preserve">Απόφαση </w:t>
      </w:r>
      <w:r w:rsidR="00B8626D">
        <w:rPr>
          <w:rFonts w:ascii="Candara" w:eastAsia="Times New Roman" w:hAnsi="Candara" w:cs="Times New Roman"/>
          <w:b/>
          <w:bCs/>
          <w:kern w:val="0"/>
          <w:lang w:eastAsia="el-GR"/>
        </w:rPr>
        <w:t xml:space="preserve">της </w:t>
      </w:r>
      <w:r w:rsidRPr="00B8626D">
        <w:rPr>
          <w:rFonts w:ascii="Candara" w:eastAsia="Times New Roman" w:hAnsi="Candara" w:cs="Times New Roman"/>
          <w:b/>
          <w:bCs/>
          <w:kern w:val="0"/>
          <w:lang w:eastAsia="el-GR"/>
        </w:rPr>
        <w:t>94</w:t>
      </w:r>
      <w:r w:rsidRPr="00B8626D">
        <w:rPr>
          <w:rFonts w:ascii="Candara" w:eastAsia="Times New Roman" w:hAnsi="Candara" w:cs="Times New Roman"/>
          <w:b/>
          <w:bCs/>
          <w:kern w:val="0"/>
          <w:vertAlign w:val="superscript"/>
          <w:lang w:eastAsia="el-GR"/>
        </w:rPr>
        <w:t>ης</w:t>
      </w:r>
      <w:r w:rsidRPr="00B8626D">
        <w:rPr>
          <w:rFonts w:ascii="Candara" w:eastAsia="Times New Roman" w:hAnsi="Candara" w:cs="Times New Roman"/>
          <w:b/>
          <w:bCs/>
          <w:kern w:val="0"/>
          <w:lang w:eastAsia="el-GR"/>
        </w:rPr>
        <w:t xml:space="preserve"> Γ</w:t>
      </w:r>
      <w:r w:rsidR="008C1D06" w:rsidRPr="00B8626D">
        <w:rPr>
          <w:rFonts w:ascii="Candara" w:eastAsia="Times New Roman" w:hAnsi="Candara" w:cs="Times New Roman"/>
          <w:b/>
          <w:bCs/>
          <w:kern w:val="0"/>
          <w:lang w:eastAsia="el-GR"/>
        </w:rPr>
        <w:t>.</w:t>
      </w:r>
      <w:r w:rsidRPr="00B8626D">
        <w:rPr>
          <w:rFonts w:ascii="Candara" w:eastAsia="Times New Roman" w:hAnsi="Candara" w:cs="Times New Roman"/>
          <w:b/>
          <w:bCs/>
          <w:kern w:val="0"/>
          <w:lang w:eastAsia="el-GR"/>
        </w:rPr>
        <w:t>Σ</w:t>
      </w:r>
      <w:r w:rsidR="008C1D06" w:rsidRPr="00B8626D">
        <w:rPr>
          <w:rFonts w:ascii="Candara" w:eastAsia="Times New Roman" w:hAnsi="Candara" w:cs="Times New Roman"/>
          <w:b/>
          <w:bCs/>
          <w:kern w:val="0"/>
          <w:lang w:eastAsia="el-GR"/>
        </w:rPr>
        <w:t>.</w:t>
      </w:r>
      <w:r w:rsidRPr="00B8626D">
        <w:rPr>
          <w:rFonts w:ascii="Candara" w:eastAsia="Times New Roman" w:hAnsi="Candara" w:cs="Times New Roman"/>
          <w:b/>
          <w:bCs/>
          <w:kern w:val="0"/>
          <w:lang w:eastAsia="el-GR"/>
        </w:rPr>
        <w:t xml:space="preserve"> της Δ</w:t>
      </w:r>
      <w:r w:rsidR="008C1D06" w:rsidRPr="00B8626D">
        <w:rPr>
          <w:rFonts w:ascii="Candara" w:eastAsia="Times New Roman" w:hAnsi="Candara" w:cs="Times New Roman"/>
          <w:b/>
          <w:bCs/>
          <w:kern w:val="0"/>
          <w:lang w:eastAsia="el-GR"/>
        </w:rPr>
        <w:t>.</w:t>
      </w:r>
      <w:r w:rsidRPr="00B8626D">
        <w:rPr>
          <w:rFonts w:ascii="Candara" w:eastAsia="Times New Roman" w:hAnsi="Candara" w:cs="Times New Roman"/>
          <w:b/>
          <w:bCs/>
          <w:kern w:val="0"/>
          <w:lang w:eastAsia="el-GR"/>
        </w:rPr>
        <w:t>Ο</w:t>
      </w:r>
      <w:r w:rsidR="008C1D06" w:rsidRPr="00B8626D">
        <w:rPr>
          <w:rFonts w:ascii="Candara" w:eastAsia="Times New Roman" w:hAnsi="Candara" w:cs="Times New Roman"/>
          <w:b/>
          <w:bCs/>
          <w:kern w:val="0"/>
          <w:lang w:eastAsia="el-GR"/>
        </w:rPr>
        <w:t>.</w:t>
      </w:r>
      <w:r w:rsidRPr="00B8626D">
        <w:rPr>
          <w:rFonts w:ascii="Candara" w:eastAsia="Times New Roman" w:hAnsi="Candara" w:cs="Times New Roman"/>
          <w:b/>
          <w:bCs/>
          <w:kern w:val="0"/>
          <w:lang w:eastAsia="el-GR"/>
        </w:rPr>
        <w:t>Ε</w:t>
      </w:r>
      <w:r w:rsidR="008C1D06" w:rsidRPr="00B8626D">
        <w:rPr>
          <w:rFonts w:ascii="Candara" w:eastAsia="Times New Roman" w:hAnsi="Candara" w:cs="Times New Roman"/>
          <w:b/>
          <w:bCs/>
          <w:kern w:val="0"/>
          <w:lang w:eastAsia="el-GR"/>
        </w:rPr>
        <w:t>.</w:t>
      </w:r>
      <w:r w:rsidRPr="00B8626D">
        <w:rPr>
          <w:rFonts w:ascii="Candara" w:eastAsia="Times New Roman" w:hAnsi="Candara" w:cs="Times New Roman"/>
          <w:b/>
          <w:bCs/>
          <w:kern w:val="0"/>
          <w:lang w:eastAsia="el-GR"/>
        </w:rPr>
        <w:t xml:space="preserve"> </w:t>
      </w:r>
    </w:p>
    <w:p w:rsidR="00652E28" w:rsidRPr="00B8626D" w:rsidRDefault="00652E28" w:rsidP="00B8626D">
      <w:pPr>
        <w:spacing w:after="0" w:line="276" w:lineRule="auto"/>
        <w:jc w:val="center"/>
        <w:rPr>
          <w:rFonts w:ascii="Candara" w:eastAsia="Times New Roman" w:hAnsi="Candara" w:cs="Times New Roman"/>
          <w:b/>
          <w:bCs/>
          <w:kern w:val="0"/>
          <w:lang w:eastAsia="el-GR"/>
        </w:rPr>
      </w:pPr>
      <w:r w:rsidRPr="00B8626D">
        <w:rPr>
          <w:rFonts w:ascii="Candara" w:eastAsia="Times New Roman" w:hAnsi="Candara" w:cs="Times New Roman"/>
          <w:b/>
          <w:bCs/>
          <w:kern w:val="0"/>
          <w:lang w:eastAsia="el-GR"/>
        </w:rPr>
        <w:t>για το Αγωνιστικό-</w:t>
      </w:r>
      <w:r w:rsidR="008C1D06" w:rsidRPr="00B8626D">
        <w:rPr>
          <w:rFonts w:ascii="Candara" w:eastAsia="Times New Roman" w:hAnsi="Candara" w:cs="Times New Roman"/>
          <w:b/>
          <w:bCs/>
          <w:kern w:val="0"/>
          <w:lang w:eastAsia="el-GR"/>
        </w:rPr>
        <w:t>Π</w:t>
      </w:r>
      <w:r w:rsidRPr="00B8626D">
        <w:rPr>
          <w:rFonts w:ascii="Candara" w:eastAsia="Times New Roman" w:hAnsi="Candara" w:cs="Times New Roman"/>
          <w:b/>
          <w:bCs/>
          <w:kern w:val="0"/>
          <w:lang w:eastAsia="el-GR"/>
        </w:rPr>
        <w:t xml:space="preserve">ρόγραμμα </w:t>
      </w:r>
      <w:r w:rsidR="008C1D06" w:rsidRPr="00B8626D">
        <w:rPr>
          <w:rFonts w:ascii="Candara" w:eastAsia="Times New Roman" w:hAnsi="Candara" w:cs="Times New Roman"/>
          <w:b/>
          <w:bCs/>
          <w:kern w:val="0"/>
          <w:lang w:eastAsia="el-GR"/>
        </w:rPr>
        <w:t>Δ</w:t>
      </w:r>
      <w:r w:rsidRPr="00B8626D">
        <w:rPr>
          <w:rFonts w:ascii="Candara" w:eastAsia="Times New Roman" w:hAnsi="Candara" w:cs="Times New Roman"/>
          <w:b/>
          <w:bCs/>
          <w:kern w:val="0"/>
          <w:lang w:eastAsia="el-GR"/>
        </w:rPr>
        <w:t>ράσης</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B8626D" w:rsidP="00B8626D">
      <w:pPr>
        <w:spacing w:after="0" w:line="276" w:lineRule="auto"/>
        <w:jc w:val="both"/>
        <w:rPr>
          <w:rFonts w:ascii="Candara" w:eastAsia="Times New Roman" w:hAnsi="Candara" w:cs="Times New Roman"/>
          <w:kern w:val="0"/>
          <w:lang w:eastAsia="el-GR"/>
        </w:rPr>
      </w:pPr>
      <w:r>
        <w:rPr>
          <w:rFonts w:ascii="Candara" w:eastAsia="Times New Roman" w:hAnsi="Candara" w:cs="Times New Roman"/>
          <w:kern w:val="0"/>
          <w:lang w:eastAsia="el-GR"/>
        </w:rPr>
        <w:tab/>
      </w:r>
      <w:r w:rsidR="00652E28" w:rsidRPr="00B8626D">
        <w:rPr>
          <w:rFonts w:ascii="Candara" w:eastAsia="Times New Roman" w:hAnsi="Candara" w:cs="Times New Roman"/>
          <w:kern w:val="0"/>
          <w:lang w:eastAsia="el-GR"/>
        </w:rPr>
        <w:t>Η 94η Γενική Συνέλευση της Διδασκαλικής Ομοσπονδίας Ελλάδας καλείται να απαντήσει με αποφασιστικότητα στις συνεχείς προκλήσεις που δέχεται η δημόσια εκπαίδευση και το εκπαιδευτικό έργο, ιδιαίτερα σε ένα πλαίσιο εντεινόμενων αντεργατικών πολιτικών, απαξίωσης του ρόλου των εκπαιδευτικών και υποβάθμισης του Δημόσιου Σχολείου.</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Αποφασίζουμε να προχωρήσουμε αγωνιστικά και μαχητικά με:</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1. Συντονισμό με τις άλλες εκπαιδευτικές Ομοσπονδίες (Ο.Λ.Μ.Ε. Ο.Ι.Ε.Λ.Ε. και Π.Ο.Σ.Ε.Ε.Π.Ε.Α.) καθώς και την Α.Δ.Ε.Δ.Υ. για κοινές δράσεις και συσκέψεις ανάδειξης και αντιμετώπισης της κυβερνητικής πολιτικής.</w:t>
      </w:r>
    </w:p>
    <w:p w:rsidR="00B8626D" w:rsidRDefault="00B8626D"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2. Έκτακτες Γενικές Συνελεύσεις και Ολομέλεια Προέδρων, με την έναρξη της σχολικής χρονιάς, για συζήτηση όλων των ζητημάτων του κλάδου και χάραξη στρατηγικής αντιμετώπισης της κυβερνητικής επιθετικότητας.</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 xml:space="preserve">3. Περιφερειακές συσκέψεις στελεχών - μελών Συλλόγων και </w:t>
      </w:r>
      <w:proofErr w:type="spellStart"/>
      <w:r w:rsidRPr="00B8626D">
        <w:rPr>
          <w:rFonts w:ascii="Candara" w:eastAsia="Times New Roman" w:hAnsi="Candara" w:cs="Times New Roman"/>
          <w:kern w:val="0"/>
          <w:lang w:eastAsia="el-GR"/>
        </w:rPr>
        <w:t>πανεκπαιδευτικά</w:t>
      </w:r>
      <w:proofErr w:type="spellEnd"/>
      <w:r w:rsidRPr="00B8626D">
        <w:rPr>
          <w:rFonts w:ascii="Candara" w:eastAsia="Times New Roman" w:hAnsi="Candara" w:cs="Times New Roman"/>
          <w:kern w:val="0"/>
          <w:lang w:eastAsia="el-GR"/>
        </w:rPr>
        <w:t xml:space="preserve"> συλλαλητήρια σε όλες τις πόλεις, με χρονικό προσδιορισμό και συντονισμό από το Δ.Σ. της Δ.Ο.Ε.</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4. Διοργάνωση τοπικών και πανελλαδικών εκδηλώσεων ενημέρωσης της κοινωνίας. Έκδοση υλικού (φυλλάδια, αφίσες, επιστολή προς τους γονείς κλπ.) για τα αιτήματα και τις διεκδικήσεις του κλάδου.</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5. Δυναμική παρουσία της Δ.Ο.Ε. στη Δ.Ε.Θ. όπου ο Πρωθυπουργός, όπως έχει προαναγγελθεί, θα ανακοινώσει αυξήσεις στους μισθούς συγκεκριμένων κλάδων και στη συζήτηση στη Βουλή για την ψήφιση του Κρατικού Προϋπολογισμού – Δεκέμβριος 2025. Παρέμβαση για αυξήσεις στις δαπάνες για την Παιδεία. </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6. Αξιοποίηση των ευρωπαϊκών και διεθνών οργανώσεων των εκπαιδευτικών (ETUCE και ΕΙ) στον αγώνα ενάντια στις κυβερνητικές πολιτικές στην Ελλάδα και αξιοποίηση της εμπειρίας από τη λειτουργία των αντίστοιχων Ομοσπονδιών των άλλων χωρών της Ευρώπης.</w:t>
      </w: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lastRenderedPageBreak/>
        <w:t>7. Εξουσιοδότηση από την 94η Γ.Σ. του Δ.Σ. της Δ.Ο.Ε. για λήψη κινηματικών αποφάσεων. </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 xml:space="preserve">8. Διοργάνωση, με πρωτοβουλία της Δ.Ο.Ε., σύσκεψης των Προέδρων των Παιδαγωγικών Τμημάτων της Χώρας και των Κοσμητόρων των σχολών για την ανάδειξη της </w:t>
      </w:r>
      <w:proofErr w:type="spellStart"/>
      <w:r w:rsidRPr="00B8626D">
        <w:rPr>
          <w:rFonts w:ascii="Candara" w:eastAsia="Times New Roman" w:hAnsi="Candara" w:cs="Times New Roman"/>
          <w:kern w:val="0"/>
          <w:lang w:eastAsia="el-GR"/>
        </w:rPr>
        <w:t>αντιεπιστημονικότητας</w:t>
      </w:r>
      <w:proofErr w:type="spellEnd"/>
      <w:r w:rsidRPr="00B8626D">
        <w:rPr>
          <w:rFonts w:ascii="Candara" w:eastAsia="Times New Roman" w:hAnsi="Candara" w:cs="Times New Roman"/>
          <w:kern w:val="0"/>
          <w:lang w:eastAsia="el-GR"/>
        </w:rPr>
        <w:t xml:space="preserve"> των ενεργειών της κυβέρνησης.</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652E28" w:rsidP="00B8626D">
      <w:pPr>
        <w:spacing w:after="0" w:line="276" w:lineRule="auto"/>
        <w:jc w:val="both"/>
        <w:rPr>
          <w:rFonts w:ascii="Candara" w:eastAsia="Times New Roman" w:hAnsi="Candara" w:cs="Times New Roman"/>
          <w:kern w:val="0"/>
          <w:lang w:eastAsia="el-GR"/>
        </w:rPr>
      </w:pPr>
      <w:r w:rsidRPr="00B8626D">
        <w:rPr>
          <w:rFonts w:ascii="Candara" w:eastAsia="Times New Roman" w:hAnsi="Candara" w:cs="Times New Roman"/>
          <w:kern w:val="0"/>
          <w:lang w:eastAsia="el-GR"/>
        </w:rPr>
        <w:t>9. Είναι σε ισχύ η απόφαση της 93ης Γ.Σ. της ΔΟΕ και συνεχίζουμε: α) με την απεργία αποχή από κάθε διαδικασία ή ενέργεια που συνδέεται με την άσκηση των καθηκόντων μας που αφορούν στις διαδικασίες της ατομικής αξιολόγησης και τις στάσεις εργασίας που κηρύσσει κάθε μήνα η ΔΟΕ και β) με τα ενιαία κείμενα της ΔΟΕ στην πάλη ενάντια στις διαδικασίες "εσωτερικής και εξωτερικής αξιολόγησης", ώστε η κατηγοριοποίηση να μείνει στα χαρτιά.</w:t>
      </w:r>
    </w:p>
    <w:p w:rsidR="00652E28" w:rsidRPr="00B8626D" w:rsidRDefault="00652E28" w:rsidP="00B8626D">
      <w:pPr>
        <w:spacing w:after="0" w:line="276" w:lineRule="auto"/>
        <w:jc w:val="both"/>
        <w:rPr>
          <w:rFonts w:ascii="Candara" w:eastAsia="Times New Roman" w:hAnsi="Candara" w:cs="Times New Roman"/>
          <w:kern w:val="0"/>
          <w:lang w:eastAsia="el-GR"/>
        </w:rPr>
      </w:pPr>
    </w:p>
    <w:p w:rsidR="00652E28" w:rsidRPr="00B8626D" w:rsidRDefault="00B8626D" w:rsidP="00B8626D">
      <w:pPr>
        <w:spacing w:after="0" w:line="276" w:lineRule="auto"/>
        <w:jc w:val="both"/>
        <w:rPr>
          <w:rFonts w:ascii="Candara" w:eastAsia="Times New Roman" w:hAnsi="Candara" w:cs="Times New Roman"/>
          <w:kern w:val="0"/>
          <w:lang w:eastAsia="el-GR"/>
        </w:rPr>
      </w:pPr>
      <w:r>
        <w:rPr>
          <w:rFonts w:ascii="Candara" w:eastAsia="Times New Roman" w:hAnsi="Candara" w:cs="Times New Roman"/>
          <w:kern w:val="0"/>
          <w:lang w:eastAsia="el-GR"/>
        </w:rPr>
        <w:tab/>
      </w:r>
      <w:r w:rsidR="00652E28" w:rsidRPr="00B8626D">
        <w:rPr>
          <w:rFonts w:ascii="Candara" w:eastAsia="Times New Roman" w:hAnsi="Candara" w:cs="Times New Roman"/>
          <w:kern w:val="0"/>
          <w:lang w:eastAsia="el-GR"/>
        </w:rPr>
        <w:t>Η Δ.Ο.Ε. θα κινηθεί αποφασιστικά, ενωτικά και αγωνιστικά. Οι εκπαιδευτικοί δεν θα αποδεχθούν τη διάλυση του δημόσιου σχολείου και την υποτίμηση του παιδαγωγικού τους έργου. Ο αγώνας μας συνεχίζεται!</w:t>
      </w:r>
    </w:p>
    <w:p w:rsidR="00652E28" w:rsidRPr="00641661" w:rsidRDefault="00652E28" w:rsidP="00641661">
      <w:pPr>
        <w:spacing w:after="0" w:line="276" w:lineRule="auto"/>
        <w:rPr>
          <w:rFonts w:ascii="Candara" w:hAnsi="Candara"/>
          <w:b/>
          <w:bCs/>
        </w:rPr>
      </w:pPr>
    </w:p>
    <w:sectPr w:rsidR="00652E28" w:rsidRPr="00641661" w:rsidSect="008C1D06">
      <w:pgSz w:w="11906" w:h="16838"/>
      <w:pgMar w:top="1300" w:right="1175" w:bottom="114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40001" w:csb1="00000000"/>
  </w:font>
  <w:font w:name="Courier New">
    <w:panose1 w:val="02070309020205020404"/>
    <w:charset w:val="A1"/>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F1758"/>
    <w:multiLevelType w:val="multilevel"/>
    <w:tmpl w:val="816EE684"/>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652E28"/>
    <w:rsid w:val="00052110"/>
    <w:rsid w:val="00641661"/>
    <w:rsid w:val="00652E28"/>
    <w:rsid w:val="008C1D06"/>
    <w:rsid w:val="00A80A09"/>
    <w:rsid w:val="00B1347C"/>
    <w:rsid w:val="00B8626D"/>
    <w:rsid w:val="00C24FF6"/>
    <w:rsid w:val="00CF258B"/>
    <w:rsid w:val="00D8650F"/>
    <w:rsid w:val="00D875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58"/>
  </w:style>
  <w:style w:type="paragraph" w:styleId="1">
    <w:name w:val="heading 1"/>
    <w:basedOn w:val="a"/>
    <w:next w:val="a"/>
    <w:link w:val="1Char"/>
    <w:uiPriority w:val="9"/>
    <w:qFormat/>
    <w:rsid w:val="00652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52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52E2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52E2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52E2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52E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52E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52E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52E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52E2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52E2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52E2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52E2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52E2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52E2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52E2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52E2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52E28"/>
    <w:rPr>
      <w:rFonts w:eastAsiaTheme="majorEastAsia" w:cstheme="majorBidi"/>
      <w:color w:val="272727" w:themeColor="text1" w:themeTint="D8"/>
    </w:rPr>
  </w:style>
  <w:style w:type="paragraph" w:styleId="a3">
    <w:name w:val="Title"/>
    <w:basedOn w:val="a"/>
    <w:next w:val="a"/>
    <w:link w:val="Char"/>
    <w:uiPriority w:val="10"/>
    <w:qFormat/>
    <w:rsid w:val="00652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52E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52E2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52E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52E28"/>
    <w:pPr>
      <w:spacing w:before="160"/>
      <w:jc w:val="center"/>
    </w:pPr>
    <w:rPr>
      <w:i/>
      <w:iCs/>
      <w:color w:val="404040" w:themeColor="text1" w:themeTint="BF"/>
    </w:rPr>
  </w:style>
  <w:style w:type="character" w:customStyle="1" w:styleId="Char1">
    <w:name w:val="Απόσπασμα Char"/>
    <w:basedOn w:val="a0"/>
    <w:link w:val="a5"/>
    <w:uiPriority w:val="29"/>
    <w:rsid w:val="00652E28"/>
    <w:rPr>
      <w:i/>
      <w:iCs/>
      <w:color w:val="404040" w:themeColor="text1" w:themeTint="BF"/>
    </w:rPr>
  </w:style>
  <w:style w:type="paragraph" w:styleId="a6">
    <w:name w:val="List Paragraph"/>
    <w:basedOn w:val="a"/>
    <w:uiPriority w:val="34"/>
    <w:qFormat/>
    <w:rsid w:val="00652E28"/>
    <w:pPr>
      <w:ind w:left="720"/>
      <w:contextualSpacing/>
    </w:pPr>
  </w:style>
  <w:style w:type="character" w:styleId="a7">
    <w:name w:val="Intense Emphasis"/>
    <w:basedOn w:val="a0"/>
    <w:uiPriority w:val="21"/>
    <w:qFormat/>
    <w:rsid w:val="00652E28"/>
    <w:rPr>
      <w:i/>
      <w:iCs/>
      <w:color w:val="0F4761" w:themeColor="accent1" w:themeShade="BF"/>
    </w:rPr>
  </w:style>
  <w:style w:type="paragraph" w:styleId="a8">
    <w:name w:val="Intense Quote"/>
    <w:basedOn w:val="a"/>
    <w:next w:val="a"/>
    <w:link w:val="Char2"/>
    <w:uiPriority w:val="30"/>
    <w:qFormat/>
    <w:rsid w:val="00652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652E28"/>
    <w:rPr>
      <w:i/>
      <w:iCs/>
      <w:color w:val="0F4761" w:themeColor="accent1" w:themeShade="BF"/>
    </w:rPr>
  </w:style>
  <w:style w:type="character" w:styleId="a9">
    <w:name w:val="Intense Reference"/>
    <w:basedOn w:val="a0"/>
    <w:uiPriority w:val="32"/>
    <w:qFormat/>
    <w:rsid w:val="00652E28"/>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2091922255">
      <w:bodyDiv w:val="1"/>
      <w:marLeft w:val="0"/>
      <w:marRight w:val="0"/>
      <w:marTop w:val="0"/>
      <w:marBottom w:val="0"/>
      <w:divBdr>
        <w:top w:val="none" w:sz="0" w:space="0" w:color="auto"/>
        <w:left w:val="none" w:sz="0" w:space="0" w:color="auto"/>
        <w:bottom w:val="none" w:sz="0" w:space="0" w:color="auto"/>
        <w:right w:val="none" w:sz="0" w:space="0" w:color="auto"/>
      </w:divBdr>
      <w:divsChild>
        <w:div w:id="1041780098">
          <w:marLeft w:val="0"/>
          <w:marRight w:val="0"/>
          <w:marTop w:val="0"/>
          <w:marBottom w:val="0"/>
          <w:divBdr>
            <w:top w:val="none" w:sz="0" w:space="0" w:color="auto"/>
            <w:left w:val="none" w:sz="0" w:space="0" w:color="auto"/>
            <w:bottom w:val="none" w:sz="0" w:space="0" w:color="auto"/>
            <w:right w:val="none" w:sz="0" w:space="0" w:color="auto"/>
          </w:divBdr>
        </w:div>
        <w:div w:id="202794651">
          <w:marLeft w:val="0"/>
          <w:marRight w:val="0"/>
          <w:marTop w:val="0"/>
          <w:marBottom w:val="0"/>
          <w:divBdr>
            <w:top w:val="none" w:sz="0" w:space="0" w:color="auto"/>
            <w:left w:val="none" w:sz="0" w:space="0" w:color="auto"/>
            <w:bottom w:val="none" w:sz="0" w:space="0" w:color="auto"/>
            <w:right w:val="none" w:sz="0" w:space="0" w:color="auto"/>
          </w:divBdr>
        </w:div>
        <w:div w:id="1603226908">
          <w:marLeft w:val="0"/>
          <w:marRight w:val="0"/>
          <w:marTop w:val="0"/>
          <w:marBottom w:val="0"/>
          <w:divBdr>
            <w:top w:val="none" w:sz="0" w:space="0" w:color="auto"/>
            <w:left w:val="none" w:sz="0" w:space="0" w:color="auto"/>
            <w:bottom w:val="none" w:sz="0" w:space="0" w:color="auto"/>
            <w:right w:val="none" w:sz="0" w:space="0" w:color="auto"/>
          </w:divBdr>
        </w:div>
        <w:div w:id="1549411441">
          <w:marLeft w:val="0"/>
          <w:marRight w:val="0"/>
          <w:marTop w:val="0"/>
          <w:marBottom w:val="0"/>
          <w:divBdr>
            <w:top w:val="none" w:sz="0" w:space="0" w:color="auto"/>
            <w:left w:val="none" w:sz="0" w:space="0" w:color="auto"/>
            <w:bottom w:val="none" w:sz="0" w:space="0" w:color="auto"/>
            <w:right w:val="none" w:sz="0" w:space="0" w:color="auto"/>
          </w:divBdr>
        </w:div>
        <w:div w:id="265889771">
          <w:marLeft w:val="0"/>
          <w:marRight w:val="0"/>
          <w:marTop w:val="0"/>
          <w:marBottom w:val="0"/>
          <w:divBdr>
            <w:top w:val="none" w:sz="0" w:space="0" w:color="auto"/>
            <w:left w:val="none" w:sz="0" w:space="0" w:color="auto"/>
            <w:bottom w:val="none" w:sz="0" w:space="0" w:color="auto"/>
            <w:right w:val="none" w:sz="0" w:space="0" w:color="auto"/>
          </w:divBdr>
        </w:div>
        <w:div w:id="1990548371">
          <w:marLeft w:val="0"/>
          <w:marRight w:val="0"/>
          <w:marTop w:val="0"/>
          <w:marBottom w:val="0"/>
          <w:divBdr>
            <w:top w:val="none" w:sz="0" w:space="0" w:color="auto"/>
            <w:left w:val="none" w:sz="0" w:space="0" w:color="auto"/>
            <w:bottom w:val="none" w:sz="0" w:space="0" w:color="auto"/>
            <w:right w:val="none" w:sz="0" w:space="0" w:color="auto"/>
          </w:divBdr>
        </w:div>
        <w:div w:id="919027812">
          <w:marLeft w:val="0"/>
          <w:marRight w:val="0"/>
          <w:marTop w:val="0"/>
          <w:marBottom w:val="0"/>
          <w:divBdr>
            <w:top w:val="none" w:sz="0" w:space="0" w:color="auto"/>
            <w:left w:val="none" w:sz="0" w:space="0" w:color="auto"/>
            <w:bottom w:val="none" w:sz="0" w:space="0" w:color="auto"/>
            <w:right w:val="none" w:sz="0" w:space="0" w:color="auto"/>
          </w:divBdr>
        </w:div>
        <w:div w:id="1591160400">
          <w:marLeft w:val="0"/>
          <w:marRight w:val="0"/>
          <w:marTop w:val="0"/>
          <w:marBottom w:val="0"/>
          <w:divBdr>
            <w:top w:val="none" w:sz="0" w:space="0" w:color="auto"/>
            <w:left w:val="none" w:sz="0" w:space="0" w:color="auto"/>
            <w:bottom w:val="none" w:sz="0" w:space="0" w:color="auto"/>
            <w:right w:val="none" w:sz="0" w:space="0" w:color="auto"/>
          </w:divBdr>
        </w:div>
        <w:div w:id="1194810317">
          <w:marLeft w:val="0"/>
          <w:marRight w:val="0"/>
          <w:marTop w:val="0"/>
          <w:marBottom w:val="0"/>
          <w:divBdr>
            <w:top w:val="none" w:sz="0" w:space="0" w:color="auto"/>
            <w:left w:val="none" w:sz="0" w:space="0" w:color="auto"/>
            <w:bottom w:val="none" w:sz="0" w:space="0" w:color="auto"/>
            <w:right w:val="none" w:sz="0" w:space="0" w:color="auto"/>
          </w:divBdr>
        </w:div>
        <w:div w:id="1789002763">
          <w:marLeft w:val="0"/>
          <w:marRight w:val="0"/>
          <w:marTop w:val="0"/>
          <w:marBottom w:val="0"/>
          <w:divBdr>
            <w:top w:val="none" w:sz="0" w:space="0" w:color="auto"/>
            <w:left w:val="none" w:sz="0" w:space="0" w:color="auto"/>
            <w:bottom w:val="none" w:sz="0" w:space="0" w:color="auto"/>
            <w:right w:val="none" w:sz="0" w:space="0" w:color="auto"/>
          </w:divBdr>
        </w:div>
        <w:div w:id="729425409">
          <w:marLeft w:val="0"/>
          <w:marRight w:val="0"/>
          <w:marTop w:val="0"/>
          <w:marBottom w:val="0"/>
          <w:divBdr>
            <w:top w:val="none" w:sz="0" w:space="0" w:color="auto"/>
            <w:left w:val="none" w:sz="0" w:space="0" w:color="auto"/>
            <w:bottom w:val="none" w:sz="0" w:space="0" w:color="auto"/>
            <w:right w:val="none" w:sz="0" w:space="0" w:color="auto"/>
          </w:divBdr>
        </w:div>
        <w:div w:id="386150591">
          <w:marLeft w:val="0"/>
          <w:marRight w:val="0"/>
          <w:marTop w:val="0"/>
          <w:marBottom w:val="0"/>
          <w:divBdr>
            <w:top w:val="none" w:sz="0" w:space="0" w:color="auto"/>
            <w:left w:val="none" w:sz="0" w:space="0" w:color="auto"/>
            <w:bottom w:val="none" w:sz="0" w:space="0" w:color="auto"/>
            <w:right w:val="none" w:sz="0" w:space="0" w:color="auto"/>
          </w:divBdr>
        </w:div>
        <w:div w:id="441924789">
          <w:marLeft w:val="0"/>
          <w:marRight w:val="0"/>
          <w:marTop w:val="0"/>
          <w:marBottom w:val="0"/>
          <w:divBdr>
            <w:top w:val="none" w:sz="0" w:space="0" w:color="auto"/>
            <w:left w:val="none" w:sz="0" w:space="0" w:color="auto"/>
            <w:bottom w:val="none" w:sz="0" w:space="0" w:color="auto"/>
            <w:right w:val="none" w:sz="0" w:space="0" w:color="auto"/>
          </w:divBdr>
        </w:div>
        <w:div w:id="2086299730">
          <w:marLeft w:val="0"/>
          <w:marRight w:val="0"/>
          <w:marTop w:val="0"/>
          <w:marBottom w:val="0"/>
          <w:divBdr>
            <w:top w:val="none" w:sz="0" w:space="0" w:color="auto"/>
            <w:left w:val="none" w:sz="0" w:space="0" w:color="auto"/>
            <w:bottom w:val="none" w:sz="0" w:space="0" w:color="auto"/>
            <w:right w:val="none" w:sz="0" w:space="0" w:color="auto"/>
          </w:divBdr>
        </w:div>
        <w:div w:id="778722450">
          <w:marLeft w:val="0"/>
          <w:marRight w:val="0"/>
          <w:marTop w:val="0"/>
          <w:marBottom w:val="0"/>
          <w:divBdr>
            <w:top w:val="none" w:sz="0" w:space="0" w:color="auto"/>
            <w:left w:val="none" w:sz="0" w:space="0" w:color="auto"/>
            <w:bottom w:val="none" w:sz="0" w:space="0" w:color="auto"/>
            <w:right w:val="none" w:sz="0" w:space="0" w:color="auto"/>
          </w:divBdr>
        </w:div>
        <w:div w:id="43912885">
          <w:marLeft w:val="0"/>
          <w:marRight w:val="0"/>
          <w:marTop w:val="0"/>
          <w:marBottom w:val="0"/>
          <w:divBdr>
            <w:top w:val="none" w:sz="0" w:space="0" w:color="auto"/>
            <w:left w:val="none" w:sz="0" w:space="0" w:color="auto"/>
            <w:bottom w:val="none" w:sz="0" w:space="0" w:color="auto"/>
            <w:right w:val="none" w:sz="0" w:space="0" w:color="auto"/>
          </w:divBdr>
        </w:div>
        <w:div w:id="1405298742">
          <w:marLeft w:val="0"/>
          <w:marRight w:val="0"/>
          <w:marTop w:val="0"/>
          <w:marBottom w:val="0"/>
          <w:divBdr>
            <w:top w:val="none" w:sz="0" w:space="0" w:color="auto"/>
            <w:left w:val="none" w:sz="0" w:space="0" w:color="auto"/>
            <w:bottom w:val="none" w:sz="0" w:space="0" w:color="auto"/>
            <w:right w:val="none" w:sz="0" w:space="0" w:color="auto"/>
          </w:divBdr>
        </w:div>
        <w:div w:id="1039161032">
          <w:marLeft w:val="0"/>
          <w:marRight w:val="0"/>
          <w:marTop w:val="0"/>
          <w:marBottom w:val="0"/>
          <w:divBdr>
            <w:top w:val="none" w:sz="0" w:space="0" w:color="auto"/>
            <w:left w:val="none" w:sz="0" w:space="0" w:color="auto"/>
            <w:bottom w:val="none" w:sz="0" w:space="0" w:color="auto"/>
            <w:right w:val="none" w:sz="0" w:space="0" w:color="auto"/>
          </w:divBdr>
        </w:div>
        <w:div w:id="1750811524">
          <w:marLeft w:val="0"/>
          <w:marRight w:val="0"/>
          <w:marTop w:val="0"/>
          <w:marBottom w:val="0"/>
          <w:divBdr>
            <w:top w:val="none" w:sz="0" w:space="0" w:color="auto"/>
            <w:left w:val="none" w:sz="0" w:space="0" w:color="auto"/>
            <w:bottom w:val="none" w:sz="0" w:space="0" w:color="auto"/>
            <w:right w:val="none" w:sz="0" w:space="0" w:color="auto"/>
          </w:divBdr>
        </w:div>
        <w:div w:id="1072393486">
          <w:marLeft w:val="0"/>
          <w:marRight w:val="0"/>
          <w:marTop w:val="0"/>
          <w:marBottom w:val="0"/>
          <w:divBdr>
            <w:top w:val="none" w:sz="0" w:space="0" w:color="auto"/>
            <w:left w:val="none" w:sz="0" w:space="0" w:color="auto"/>
            <w:bottom w:val="none" w:sz="0" w:space="0" w:color="auto"/>
            <w:right w:val="none" w:sz="0" w:space="0" w:color="auto"/>
          </w:divBdr>
        </w:div>
        <w:div w:id="1505198050">
          <w:marLeft w:val="0"/>
          <w:marRight w:val="0"/>
          <w:marTop w:val="0"/>
          <w:marBottom w:val="0"/>
          <w:divBdr>
            <w:top w:val="none" w:sz="0" w:space="0" w:color="auto"/>
            <w:left w:val="none" w:sz="0" w:space="0" w:color="auto"/>
            <w:bottom w:val="none" w:sz="0" w:space="0" w:color="auto"/>
            <w:right w:val="none" w:sz="0" w:space="0" w:color="auto"/>
          </w:divBdr>
        </w:div>
        <w:div w:id="757021082">
          <w:marLeft w:val="0"/>
          <w:marRight w:val="0"/>
          <w:marTop w:val="0"/>
          <w:marBottom w:val="0"/>
          <w:divBdr>
            <w:top w:val="none" w:sz="0" w:space="0" w:color="auto"/>
            <w:left w:val="none" w:sz="0" w:space="0" w:color="auto"/>
            <w:bottom w:val="none" w:sz="0" w:space="0" w:color="auto"/>
            <w:right w:val="none" w:sz="0" w:space="0" w:color="auto"/>
          </w:divBdr>
        </w:div>
        <w:div w:id="187807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2284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T</dc:creator>
  <cp:lastModifiedBy>doe11</cp:lastModifiedBy>
  <cp:revision>3</cp:revision>
  <dcterms:created xsi:type="dcterms:W3CDTF">2025-07-15T10:53:00Z</dcterms:created>
  <dcterms:modified xsi:type="dcterms:W3CDTF">2025-07-15T10:54:00Z</dcterms:modified>
</cp:coreProperties>
</file>